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86" w:rsidRDefault="009E4586" w:rsidP="009E4586">
      <w:pPr>
        <w:jc w:val="center"/>
        <w:rPr>
          <w:b/>
        </w:rPr>
      </w:pPr>
      <w:r>
        <w:rPr>
          <w:b/>
        </w:rPr>
        <w:t>CAPACITI Session 2: 30 Day Challenge</w:t>
      </w:r>
    </w:p>
    <w:p w:rsidR="009E4586" w:rsidRDefault="009E4586" w:rsidP="009E4586">
      <w:pPr>
        <w:jc w:val="center"/>
        <w:rPr>
          <w:b/>
        </w:rPr>
      </w:pPr>
      <w:r>
        <w:rPr>
          <w:b/>
        </w:rPr>
        <w:t>Building and maintaining a registry</w:t>
      </w:r>
    </w:p>
    <w:p w:rsidR="009E4586" w:rsidRPr="00166A8F" w:rsidRDefault="009E4586" w:rsidP="009E4586">
      <w:pPr>
        <w:rPr>
          <w:b/>
        </w:rPr>
      </w:pPr>
    </w:p>
    <w:p w:rsidR="009E4586" w:rsidRPr="00166A8F" w:rsidRDefault="009E4586" w:rsidP="009E4586">
      <w:pPr>
        <w:rPr>
          <w:b/>
          <w:sz w:val="22"/>
          <w:szCs w:val="22"/>
        </w:rPr>
      </w:pPr>
      <w:r w:rsidRPr="00166A8F">
        <w:rPr>
          <w:b/>
          <w:sz w:val="22"/>
          <w:szCs w:val="22"/>
        </w:rPr>
        <w:t xml:space="preserve">Instructions: </w:t>
      </w:r>
    </w:p>
    <w:p w:rsidR="009E4586" w:rsidRPr="00166A8F" w:rsidRDefault="009E4586" w:rsidP="009E4586">
      <w:pPr>
        <w:numPr>
          <w:ilvl w:val="0"/>
          <w:numId w:val="1"/>
        </w:numPr>
        <w:spacing w:after="0"/>
        <w:contextualSpacing/>
        <w:rPr>
          <w:rFonts w:eastAsia="Times New Roman"/>
          <w:color w:val="000000" w:themeColor="dark1"/>
          <w:kern w:val="24"/>
          <w:sz w:val="22"/>
          <w:szCs w:val="22"/>
        </w:rPr>
      </w:pPr>
      <w:r w:rsidRPr="00166A8F">
        <w:rPr>
          <w:rFonts w:eastAsia="Times New Roman"/>
          <w:color w:val="000000" w:themeColor="dark1"/>
          <w:kern w:val="24"/>
          <w:sz w:val="22"/>
          <w:szCs w:val="22"/>
        </w:rPr>
        <w:t>Identify patients in your practice that could benefit from a Palliative care approach. Consider the following:</w:t>
      </w:r>
    </w:p>
    <w:p w:rsidR="009E4586" w:rsidRPr="00166A8F" w:rsidRDefault="009E4586" w:rsidP="009E4586">
      <w:pPr>
        <w:numPr>
          <w:ilvl w:val="1"/>
          <w:numId w:val="1"/>
        </w:numPr>
        <w:spacing w:after="0"/>
        <w:contextualSpacing/>
        <w:rPr>
          <w:rFonts w:eastAsia="Times New Roman"/>
          <w:color w:val="000000" w:themeColor="dark1"/>
          <w:kern w:val="24"/>
          <w:sz w:val="22"/>
          <w:szCs w:val="22"/>
        </w:rPr>
      </w:pPr>
      <w:r w:rsidRPr="00166A8F">
        <w:rPr>
          <w:rFonts w:eastAsia="Times New Roman"/>
          <w:color w:val="000000" w:themeColor="dark1"/>
          <w:kern w:val="24"/>
          <w:sz w:val="22"/>
          <w:szCs w:val="22"/>
        </w:rPr>
        <w:t>EMR strategies</w:t>
      </w:r>
    </w:p>
    <w:p w:rsidR="009E4586" w:rsidRPr="00166A8F" w:rsidRDefault="009E4586" w:rsidP="009E4586">
      <w:pPr>
        <w:numPr>
          <w:ilvl w:val="1"/>
          <w:numId w:val="1"/>
        </w:numPr>
        <w:spacing w:after="0"/>
        <w:contextualSpacing/>
        <w:rPr>
          <w:rFonts w:eastAsia="Times New Roman"/>
          <w:color w:val="000000" w:themeColor="dark1"/>
          <w:kern w:val="24"/>
          <w:sz w:val="22"/>
          <w:szCs w:val="22"/>
        </w:rPr>
      </w:pPr>
      <w:r w:rsidRPr="00166A8F">
        <w:rPr>
          <w:rFonts w:eastAsia="Times New Roman"/>
          <w:color w:val="000000" w:themeColor="dark1"/>
          <w:kern w:val="24"/>
          <w:sz w:val="22"/>
          <w:szCs w:val="22"/>
        </w:rPr>
        <w:t>Non-EMR strategies</w:t>
      </w:r>
    </w:p>
    <w:p w:rsidR="009E4586" w:rsidRPr="00166A8F" w:rsidRDefault="009E4586" w:rsidP="009E4586">
      <w:pPr>
        <w:numPr>
          <w:ilvl w:val="0"/>
          <w:numId w:val="1"/>
        </w:numPr>
        <w:spacing w:after="0"/>
        <w:contextualSpacing/>
        <w:rPr>
          <w:rFonts w:eastAsia="Times New Roman"/>
          <w:color w:val="000000" w:themeColor="dark1"/>
          <w:kern w:val="24"/>
          <w:sz w:val="22"/>
          <w:szCs w:val="22"/>
        </w:rPr>
      </w:pPr>
      <w:r w:rsidRPr="00166A8F">
        <w:rPr>
          <w:rFonts w:eastAsia="Times New Roman"/>
          <w:color w:val="000000" w:themeColor="dark1"/>
          <w:kern w:val="24"/>
          <w:sz w:val="22"/>
          <w:szCs w:val="22"/>
        </w:rPr>
        <w:t>Create a registry to track these patients</w:t>
      </w:r>
    </w:p>
    <w:p w:rsidR="009E4586" w:rsidRPr="00166A8F" w:rsidRDefault="009E4586" w:rsidP="009E4586">
      <w:pPr>
        <w:numPr>
          <w:ilvl w:val="0"/>
          <w:numId w:val="1"/>
        </w:numPr>
        <w:spacing w:after="0"/>
        <w:contextualSpacing/>
        <w:rPr>
          <w:rFonts w:eastAsia="Times New Roman"/>
          <w:color w:val="000000" w:themeColor="dark1"/>
          <w:kern w:val="24"/>
          <w:sz w:val="22"/>
          <w:szCs w:val="22"/>
        </w:rPr>
      </w:pPr>
      <w:r w:rsidRPr="00166A8F">
        <w:rPr>
          <w:rFonts w:eastAsia="Times New Roman"/>
          <w:color w:val="000000" w:themeColor="dark1"/>
          <w:kern w:val="24"/>
          <w:sz w:val="22"/>
          <w:szCs w:val="22"/>
        </w:rPr>
        <w:t xml:space="preserve">Develop a plan for on-going identification </w:t>
      </w:r>
    </w:p>
    <w:p w:rsidR="00166A8F" w:rsidRPr="00166A8F" w:rsidRDefault="00166A8F" w:rsidP="00166A8F">
      <w:pPr>
        <w:spacing w:after="0"/>
        <w:contextualSpacing/>
        <w:rPr>
          <w:rFonts w:eastAsia="Times New Roman"/>
          <w:b/>
          <w:color w:val="000000" w:themeColor="dark1"/>
          <w:kern w:val="24"/>
          <w:sz w:val="22"/>
          <w:szCs w:val="22"/>
        </w:rPr>
      </w:pPr>
    </w:p>
    <w:p w:rsidR="00166A8F" w:rsidRPr="00166A8F" w:rsidRDefault="00166A8F" w:rsidP="00166A8F">
      <w:pPr>
        <w:spacing w:after="0"/>
        <w:contextualSpacing/>
        <w:rPr>
          <w:rFonts w:eastAsia="Times New Roman"/>
          <w:b/>
          <w:color w:val="000000" w:themeColor="dark1"/>
          <w:kern w:val="24"/>
          <w:sz w:val="22"/>
          <w:szCs w:val="22"/>
        </w:rPr>
      </w:pPr>
      <w:r w:rsidRPr="00166A8F">
        <w:rPr>
          <w:rFonts w:eastAsia="Times New Roman"/>
          <w:b/>
          <w:color w:val="000000" w:themeColor="dark1"/>
          <w:kern w:val="24"/>
          <w:sz w:val="22"/>
          <w:szCs w:val="22"/>
        </w:rPr>
        <w:t>Things to think about:</w:t>
      </w:r>
    </w:p>
    <w:p w:rsidR="00166A8F" w:rsidRPr="00166A8F" w:rsidRDefault="00166A8F" w:rsidP="00166A8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color w:val="000000" w:themeColor="dark1"/>
          <w:kern w:val="24"/>
        </w:rPr>
      </w:pPr>
      <w:r w:rsidRPr="00166A8F">
        <w:rPr>
          <w:rFonts w:ascii="Arial" w:eastAsia="Times New Roman" w:hAnsi="Arial" w:cs="Arial"/>
          <w:color w:val="000000" w:themeColor="dark1"/>
          <w:kern w:val="24"/>
        </w:rPr>
        <w:t>Whose role will it be to flag patients?</w:t>
      </w:r>
    </w:p>
    <w:p w:rsidR="00166A8F" w:rsidRPr="00166A8F" w:rsidRDefault="00166A8F" w:rsidP="00166A8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color w:val="000000" w:themeColor="dark1"/>
          <w:kern w:val="24"/>
        </w:rPr>
      </w:pPr>
      <w:r w:rsidRPr="00166A8F">
        <w:rPr>
          <w:rFonts w:ascii="Arial" w:eastAsia="Times New Roman" w:hAnsi="Arial" w:cs="Arial"/>
          <w:color w:val="000000" w:themeColor="dark1"/>
          <w:kern w:val="24"/>
        </w:rPr>
        <w:t>Who will maintain the registry?</w:t>
      </w:r>
    </w:p>
    <w:p w:rsidR="00166A8F" w:rsidRPr="00166A8F" w:rsidRDefault="00166A8F" w:rsidP="00166A8F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b/>
          <w:color w:val="000000" w:themeColor="dark1"/>
          <w:kern w:val="24"/>
        </w:rPr>
      </w:pPr>
      <w:r w:rsidRPr="00166A8F">
        <w:rPr>
          <w:rFonts w:ascii="Arial" w:eastAsia="Times New Roman" w:hAnsi="Arial" w:cs="Arial"/>
          <w:color w:val="000000" w:themeColor="dark1"/>
          <w:kern w:val="24"/>
        </w:rPr>
        <w:t xml:space="preserve">What are you currently using or doing? </w:t>
      </w:r>
    </w:p>
    <w:p w:rsidR="00166A8F" w:rsidRPr="00166A8F" w:rsidRDefault="00166A8F" w:rsidP="00166A8F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  <w:b/>
          <w:color w:val="000000" w:themeColor="dark1"/>
          <w:kern w:val="24"/>
        </w:rPr>
      </w:pPr>
      <w:r w:rsidRPr="00166A8F">
        <w:rPr>
          <w:rFonts w:ascii="Arial" w:eastAsia="Times New Roman" w:hAnsi="Arial" w:cs="Arial"/>
          <w:color w:val="000000" w:themeColor="dark1"/>
          <w:kern w:val="24"/>
        </w:rPr>
        <w:t>Can this be adapted?</w:t>
      </w:r>
    </w:p>
    <w:p w:rsidR="00166A8F" w:rsidRDefault="00166A8F" w:rsidP="00166A8F">
      <w:pPr>
        <w:spacing w:after="0"/>
        <w:rPr>
          <w:rFonts w:eastAsia="Times New Roman"/>
          <w:b/>
          <w:color w:val="000000" w:themeColor="dark1"/>
          <w:kern w:val="24"/>
        </w:rPr>
      </w:pPr>
    </w:p>
    <w:p w:rsidR="00166A8F" w:rsidRDefault="00166A8F" w:rsidP="00166A8F">
      <w:pPr>
        <w:spacing w:after="0"/>
        <w:rPr>
          <w:rFonts w:eastAsia="Times New Roman"/>
          <w:b/>
          <w:color w:val="000000" w:themeColor="dark1"/>
          <w:kern w:val="24"/>
        </w:rPr>
      </w:pPr>
      <w:r>
        <w:rPr>
          <w:rFonts w:eastAsia="Times New Roman"/>
          <w:b/>
          <w:color w:val="000000" w:themeColor="dark1"/>
          <w:kern w:val="24"/>
        </w:rPr>
        <w:t>Examples</w:t>
      </w:r>
    </w:p>
    <w:p w:rsidR="00166A8F" w:rsidRPr="00C15096" w:rsidRDefault="00C15096" w:rsidP="00166A8F">
      <w:pPr>
        <w:spacing w:after="0"/>
        <w:rPr>
          <w:rFonts w:eastAsia="Times New Roman"/>
          <w:color w:val="000000" w:themeColor="dark1"/>
          <w:kern w:val="24"/>
        </w:rPr>
      </w:pPr>
      <w:r w:rsidRPr="00C15096">
        <w:rPr>
          <w:rFonts w:eastAsia="Times New Roman"/>
          <w:color w:val="000000" w:themeColor="dark1"/>
          <w:kern w:val="24"/>
        </w:rPr>
        <w:t>Paper form or spreadsheet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383"/>
        <w:gridCol w:w="540"/>
        <w:gridCol w:w="1340"/>
        <w:gridCol w:w="1420"/>
        <w:gridCol w:w="1403"/>
        <w:gridCol w:w="1450"/>
        <w:gridCol w:w="1090"/>
      </w:tblGrid>
      <w:tr w:rsidR="00166A8F" w:rsidRPr="00166A8F" w:rsidTr="00C15096">
        <w:trPr>
          <w:trHeight w:val="443"/>
        </w:trPr>
        <w:tc>
          <w:tcPr>
            <w:tcW w:w="384" w:type="pct"/>
            <w:tcBorders>
              <w:top w:val="single" w:sz="6" w:space="0" w:color="4A7EBB"/>
              <w:left w:val="single" w:sz="6" w:space="0" w:color="4A7EBB"/>
              <w:bottom w:val="single" w:sz="18" w:space="0" w:color="FFFFFF"/>
              <w:right w:val="nil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Date</w:t>
            </w:r>
          </w:p>
        </w:tc>
        <w:tc>
          <w:tcPr>
            <w:tcW w:w="740" w:type="pct"/>
            <w:tcBorders>
              <w:top w:val="single" w:sz="6" w:space="0" w:color="4A7EBB"/>
              <w:left w:val="nil"/>
              <w:bottom w:val="single" w:sz="18" w:space="0" w:color="FFFFFF"/>
              <w:right w:val="nil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 xml:space="preserve">Name of patient (and Name of </w:t>
            </w:r>
            <w:proofErr w:type="spellStart"/>
            <w:r w:rsidRPr="00166A8F">
              <w:rPr>
                <w:b/>
                <w:bCs/>
              </w:rPr>
              <w:t>Carer</w:t>
            </w:r>
            <w:proofErr w:type="spellEnd"/>
            <w:r w:rsidRPr="00166A8F">
              <w:rPr>
                <w:b/>
                <w:bCs/>
              </w:rPr>
              <w:t>)</w:t>
            </w:r>
          </w:p>
        </w:tc>
        <w:tc>
          <w:tcPr>
            <w:tcW w:w="289" w:type="pct"/>
            <w:tcBorders>
              <w:top w:val="single" w:sz="6" w:space="0" w:color="4A7EBB"/>
              <w:left w:val="nil"/>
              <w:bottom w:val="single" w:sz="18" w:space="0" w:color="FFFFFF"/>
              <w:right w:val="nil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 xml:space="preserve">ID </w:t>
            </w:r>
          </w:p>
        </w:tc>
        <w:tc>
          <w:tcPr>
            <w:tcW w:w="717" w:type="pct"/>
            <w:tcBorders>
              <w:top w:val="single" w:sz="6" w:space="0" w:color="4A7EBB"/>
              <w:left w:val="nil"/>
              <w:bottom w:val="single" w:sz="18" w:space="0" w:color="FFFFFF"/>
              <w:right w:val="nil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Main Diagnosis (code)</w:t>
            </w:r>
          </w:p>
        </w:tc>
        <w:tc>
          <w:tcPr>
            <w:tcW w:w="760" w:type="pct"/>
            <w:tcBorders>
              <w:top w:val="single" w:sz="6" w:space="0" w:color="4A7EBB"/>
              <w:left w:val="nil"/>
              <w:bottom w:val="single" w:sz="18" w:space="0" w:color="FFFFFF"/>
              <w:right w:val="nil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Secondary Diagnosis (code)</w:t>
            </w:r>
          </w:p>
        </w:tc>
        <w:tc>
          <w:tcPr>
            <w:tcW w:w="751" w:type="pct"/>
            <w:tcBorders>
              <w:top w:val="single" w:sz="6" w:space="0" w:color="4A7EBB"/>
              <w:left w:val="nil"/>
              <w:bottom w:val="single" w:sz="18" w:space="0" w:color="FFFFFF"/>
              <w:right w:val="nil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General Indicators of Decline (2 or more): yes / no</w:t>
            </w:r>
          </w:p>
        </w:tc>
        <w:tc>
          <w:tcPr>
            <w:tcW w:w="776" w:type="pct"/>
            <w:tcBorders>
              <w:top w:val="single" w:sz="6" w:space="0" w:color="4A7EBB"/>
              <w:left w:val="nil"/>
              <w:bottom w:val="single" w:sz="18" w:space="0" w:color="FFFFFF"/>
              <w:right w:val="nil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Clinical Indicators of Decline: yes / no</w:t>
            </w:r>
          </w:p>
        </w:tc>
        <w:tc>
          <w:tcPr>
            <w:tcW w:w="584" w:type="pct"/>
            <w:tcBorders>
              <w:top w:val="single" w:sz="6" w:space="0" w:color="4A7EBB"/>
              <w:left w:val="nil"/>
              <w:bottom w:val="single" w:sz="18" w:space="0" w:color="FFFFFF"/>
              <w:right w:val="single" w:sz="6" w:space="0" w:color="4A7EBB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Notes</w:t>
            </w:r>
          </w:p>
        </w:tc>
      </w:tr>
      <w:tr w:rsidR="00166A8F" w:rsidRPr="00166A8F" w:rsidTr="00C15096">
        <w:trPr>
          <w:trHeight w:val="148"/>
        </w:trPr>
        <w:tc>
          <w:tcPr>
            <w:tcW w:w="384" w:type="pct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18" w:space="0" w:color="4F81BD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single" w:sz="18" w:space="0" w:color="FFFFFF"/>
              <w:left w:val="single" w:sz="18" w:space="0" w:color="4F81BD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289" w:type="pct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17" w:type="pct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60" w:type="pct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51" w:type="pct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76" w:type="pct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584" w:type="pct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</w:tr>
      <w:tr w:rsidR="00166A8F" w:rsidRPr="00166A8F" w:rsidTr="00C15096">
        <w:trPr>
          <w:trHeight w:val="148"/>
        </w:trPr>
        <w:tc>
          <w:tcPr>
            <w:tcW w:w="3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1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single" w:sz="6" w:space="0" w:color="4A7EBB"/>
              <w:left w:val="single" w:sz="18" w:space="0" w:color="4F81BD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289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17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60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51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76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5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</w:tr>
      <w:tr w:rsidR="00166A8F" w:rsidRPr="00166A8F" w:rsidTr="00C15096">
        <w:trPr>
          <w:trHeight w:val="148"/>
        </w:trPr>
        <w:tc>
          <w:tcPr>
            <w:tcW w:w="3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18" w:space="0" w:color="4F81BD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single" w:sz="6" w:space="0" w:color="4A7EBB"/>
              <w:left w:val="single" w:sz="18" w:space="0" w:color="4F81BD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289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17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60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51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76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5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</w:tr>
      <w:tr w:rsidR="00166A8F" w:rsidRPr="00166A8F" w:rsidTr="00C15096">
        <w:trPr>
          <w:trHeight w:val="148"/>
        </w:trPr>
        <w:tc>
          <w:tcPr>
            <w:tcW w:w="3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1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single" w:sz="6" w:space="0" w:color="4A7EBB"/>
              <w:left w:val="single" w:sz="18" w:space="0" w:color="4F81BD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289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17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60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51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76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5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</w:tr>
      <w:tr w:rsidR="00166A8F" w:rsidRPr="00166A8F" w:rsidTr="00C15096">
        <w:trPr>
          <w:trHeight w:val="148"/>
        </w:trPr>
        <w:tc>
          <w:tcPr>
            <w:tcW w:w="3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18" w:space="0" w:color="4F81BD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single" w:sz="6" w:space="0" w:color="4A7EBB"/>
              <w:left w:val="single" w:sz="18" w:space="0" w:color="4F81BD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289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17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60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51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76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5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</w:tr>
      <w:tr w:rsidR="00166A8F" w:rsidRPr="00166A8F" w:rsidTr="00C15096">
        <w:trPr>
          <w:trHeight w:val="148"/>
        </w:trPr>
        <w:tc>
          <w:tcPr>
            <w:tcW w:w="3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1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single" w:sz="6" w:space="0" w:color="4A7EBB"/>
              <w:left w:val="single" w:sz="18" w:space="0" w:color="4F81BD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289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17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60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51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76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5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</w:tr>
      <w:tr w:rsidR="00166A8F" w:rsidRPr="00166A8F" w:rsidTr="00C15096">
        <w:trPr>
          <w:trHeight w:val="148"/>
        </w:trPr>
        <w:tc>
          <w:tcPr>
            <w:tcW w:w="3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18" w:space="0" w:color="4F81BD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single" w:sz="6" w:space="0" w:color="4A7EBB"/>
              <w:left w:val="single" w:sz="18" w:space="0" w:color="4F81BD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289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17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60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51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776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  <w:tc>
          <w:tcPr>
            <w:tcW w:w="584" w:type="pct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166A8F" w:rsidRPr="00166A8F" w:rsidRDefault="00166A8F" w:rsidP="00166A8F">
            <w:r w:rsidRPr="00166A8F">
              <w:t> </w:t>
            </w:r>
          </w:p>
        </w:tc>
      </w:tr>
    </w:tbl>
    <w:p w:rsidR="00C15096" w:rsidRDefault="00C15096"/>
    <w:p w:rsidR="00C15096" w:rsidRDefault="00C15096">
      <w:r>
        <w:lastRenderedPageBreak/>
        <w:t xml:space="preserve">EMR </w:t>
      </w:r>
      <w:bookmarkStart w:id="0" w:name="_GoBack"/>
      <w:bookmarkEnd w:id="0"/>
      <w:r>
        <w:t>algorithm</w:t>
      </w:r>
    </w:p>
    <w:tbl>
      <w:tblPr>
        <w:tblW w:w="3566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</w:tblGrid>
      <w:tr w:rsidR="00166A8F" w:rsidRPr="00166A8F" w:rsidTr="00C15096">
        <w:trPr>
          <w:trHeight w:val="806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C15096" w:rsidRDefault="00166A8F" w:rsidP="00166A8F">
            <w:r w:rsidRPr="00C15096">
              <w:rPr>
                <w:bCs/>
              </w:rPr>
              <w:t> A READ code indicating at least one of the following conditions within the last 18 months.</w:t>
            </w:r>
          </w:p>
        </w:tc>
      </w:tr>
      <w:tr w:rsidR="00166A8F" w:rsidRPr="00166A8F" w:rsidTr="00C15096">
        <w:trPr>
          <w:trHeight w:val="382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ο Cancer diagnosis</w:t>
            </w:r>
          </w:p>
        </w:tc>
      </w:tr>
      <w:tr w:rsidR="00166A8F" w:rsidRPr="00166A8F" w:rsidTr="00C15096">
        <w:trPr>
          <w:trHeight w:val="46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        • stomach, pancreas, lung</w:t>
            </w:r>
          </w:p>
        </w:tc>
      </w:tr>
      <w:tr w:rsidR="00166A8F" w:rsidRPr="00166A8F" w:rsidTr="00C15096">
        <w:trPr>
          <w:trHeight w:val="46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        •  any metastatic cancer</w:t>
            </w:r>
          </w:p>
        </w:tc>
      </w:tr>
      <w:tr w:rsidR="00166A8F" w:rsidRPr="00166A8F" w:rsidTr="00C15096">
        <w:trPr>
          <w:trHeight w:val="46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ο Chemotherapy or radiotherapy treatment</w:t>
            </w:r>
          </w:p>
        </w:tc>
      </w:tr>
      <w:tr w:rsidR="00166A8F" w:rsidRPr="00166A8F" w:rsidTr="00C15096">
        <w:trPr>
          <w:trHeight w:val="46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ο MRC breathlessness - stage 5</w:t>
            </w:r>
          </w:p>
        </w:tc>
      </w:tr>
      <w:tr w:rsidR="00166A8F" w:rsidRPr="00166A8F" w:rsidTr="00C15096">
        <w:trPr>
          <w:trHeight w:val="46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ο Chronic kidney disease - stage 5</w:t>
            </w:r>
          </w:p>
        </w:tc>
      </w:tr>
      <w:tr w:rsidR="00166A8F" w:rsidRPr="00166A8F" w:rsidTr="00C15096">
        <w:trPr>
          <w:trHeight w:val="46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ο Diuretic resistant ascites</w:t>
            </w:r>
          </w:p>
        </w:tc>
      </w:tr>
      <w:tr w:rsidR="00166A8F" w:rsidRPr="00166A8F" w:rsidTr="00C15096">
        <w:trPr>
          <w:trHeight w:val="46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ο Alcoholic and non-alcoholic cirrhosis of the liver</w:t>
            </w:r>
          </w:p>
        </w:tc>
      </w:tr>
      <w:tr w:rsidR="00166A8F" w:rsidRPr="00166A8F" w:rsidTr="00C15096">
        <w:trPr>
          <w:trHeight w:val="46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ο Chronic liver disease</w:t>
            </w:r>
          </w:p>
        </w:tc>
      </w:tr>
      <w:tr w:rsidR="00166A8F" w:rsidRPr="00166A8F" w:rsidTr="00C15096">
        <w:trPr>
          <w:trHeight w:val="46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ο Housebound patient</w:t>
            </w:r>
          </w:p>
        </w:tc>
      </w:tr>
      <w:tr w:rsidR="00166A8F" w:rsidRPr="00166A8F" w:rsidTr="00C15096">
        <w:trPr>
          <w:trHeight w:val="806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ο An Exception made from any of the following Quality Indicators (</w:t>
            </w:r>
            <w:proofErr w:type="spellStart"/>
            <w:r w:rsidRPr="00166A8F">
              <w:rPr>
                <w:b/>
                <w:bCs/>
              </w:rPr>
              <w:t>QoF</w:t>
            </w:r>
            <w:proofErr w:type="spellEnd"/>
            <w:r w:rsidRPr="00166A8F">
              <w:rPr>
                <w:b/>
                <w:bCs/>
              </w:rPr>
              <w:t>):</w:t>
            </w:r>
          </w:p>
        </w:tc>
      </w:tr>
      <w:tr w:rsidR="00166A8F" w:rsidRPr="00166A8F" w:rsidTr="00C15096">
        <w:trPr>
          <w:trHeight w:val="806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•  Heart failure, diabetes, COPD, dementia, stroke, peripheral arterial disease</w:t>
            </w:r>
          </w:p>
        </w:tc>
      </w:tr>
      <w:tr w:rsidR="00166A8F" w:rsidRPr="00166A8F" w:rsidTr="00C15096">
        <w:trPr>
          <w:trHeight w:val="1017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166A8F" w:rsidRPr="00166A8F" w:rsidRDefault="00166A8F" w:rsidP="00166A8F">
            <w:r w:rsidRPr="00166A8F">
              <w:rPr>
                <w:b/>
                <w:bCs/>
              </w:rPr>
              <w:t>•  Any coding for heart failure cross-referenced with chronic kidney disease - stage 4 or 5 (This combination carries a poor prognosis)</w:t>
            </w:r>
          </w:p>
        </w:tc>
      </w:tr>
    </w:tbl>
    <w:p w:rsidR="00C15096" w:rsidRDefault="00C15096">
      <w:pPr>
        <w:rPr>
          <w:noProof/>
        </w:rPr>
      </w:pPr>
    </w:p>
    <w:p w:rsidR="00C15096" w:rsidRDefault="00C15096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:rsidR="00C15096" w:rsidRDefault="00C15096" w:rsidP="00C15096">
      <w:r>
        <w:lastRenderedPageBreak/>
        <w:t>EM</w:t>
      </w:r>
      <w:r>
        <w:t>R</w:t>
      </w:r>
      <w:r>
        <w:t xml:space="preserve"> </w:t>
      </w:r>
      <w:r>
        <w:t>face page for palliative care</w:t>
      </w:r>
    </w:p>
    <w:p w:rsidR="007C070C" w:rsidRDefault="00166A8F">
      <w:r w:rsidRPr="00166A8F">
        <w:rPr>
          <w:noProof/>
        </w:rPr>
        <w:drawing>
          <wp:inline distT="0" distB="0" distL="0" distR="0" wp14:anchorId="0A941BC0" wp14:editId="6AFBBA42">
            <wp:extent cx="6762994" cy="764857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12" cy="765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7C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D3966"/>
    <w:multiLevelType w:val="hybridMultilevel"/>
    <w:tmpl w:val="91A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1E71"/>
    <w:multiLevelType w:val="hybridMultilevel"/>
    <w:tmpl w:val="6B3E9DA4"/>
    <w:lvl w:ilvl="0" w:tplc="11623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41843"/>
    <w:multiLevelType w:val="hybridMultilevel"/>
    <w:tmpl w:val="02B2D85E"/>
    <w:lvl w:ilvl="0" w:tplc="23024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47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04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2D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B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8C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46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CB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2D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5"/>
    <w:rsid w:val="00055E85"/>
    <w:rsid w:val="00166A8F"/>
    <w:rsid w:val="007C070C"/>
    <w:rsid w:val="009E4586"/>
    <w:rsid w:val="00C1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8078"/>
  <w15:chartTrackingRefBased/>
  <w15:docId w15:val="{3414A922-4555-4FCF-A368-8CB29D4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85"/>
    <w:pPr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86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Civak Maggie</dc:creator>
  <cp:keywords/>
  <dc:description/>
  <cp:lastModifiedBy>Bainbridge Daryl</cp:lastModifiedBy>
  <cp:revision>4</cp:revision>
  <dcterms:created xsi:type="dcterms:W3CDTF">2020-01-13T16:40:00Z</dcterms:created>
  <dcterms:modified xsi:type="dcterms:W3CDTF">2020-01-13T21:15:00Z</dcterms:modified>
</cp:coreProperties>
</file>